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AA4" w:rsidRPr="002E2AEE" w:rsidRDefault="00561D41" w:rsidP="00202AA4">
      <w:pPr>
        <w:pStyle w:val="a4"/>
        <w:jc w:val="right"/>
        <w:rPr>
          <w:rFonts w:cs="Times New Roman"/>
          <w:b/>
          <w:szCs w:val="28"/>
        </w:rPr>
      </w:pPr>
      <w:r>
        <w:rPr>
          <w:rFonts w:cs="Times New Roman"/>
          <w:b/>
          <w:szCs w:val="28"/>
          <w:lang w:val="ru-RU"/>
        </w:rPr>
        <w:t xml:space="preserve"> </w:t>
      </w:r>
      <w:bookmarkStart w:id="0" w:name="_GoBack"/>
      <w:bookmarkEnd w:id="0"/>
      <w:r w:rsidR="00202AA4" w:rsidRPr="002E2AEE">
        <w:rPr>
          <w:rFonts w:cs="Times New Roman"/>
          <w:b/>
          <w:szCs w:val="28"/>
        </w:rPr>
        <w:t>Д</w:t>
      </w:r>
      <w:r w:rsidR="00D13D49" w:rsidRPr="002E2AEE">
        <w:rPr>
          <w:rFonts w:cs="Times New Roman"/>
          <w:b/>
          <w:szCs w:val="28"/>
        </w:rPr>
        <w:t>одаток 1</w:t>
      </w:r>
    </w:p>
    <w:p w:rsidR="00202AA4" w:rsidRPr="002E2AEE" w:rsidRDefault="00202AA4" w:rsidP="00202AA4">
      <w:pPr>
        <w:pStyle w:val="a4"/>
        <w:jc w:val="center"/>
        <w:rPr>
          <w:rFonts w:cs="Times New Roman"/>
          <w:b/>
          <w:sz w:val="24"/>
          <w:szCs w:val="24"/>
        </w:rPr>
      </w:pPr>
      <w:r w:rsidRPr="002E2AEE">
        <w:rPr>
          <w:rFonts w:cs="Times New Roman"/>
          <w:b/>
          <w:sz w:val="24"/>
          <w:szCs w:val="24"/>
        </w:rPr>
        <w:t>ПОЛОЖЕННЯ</w:t>
      </w:r>
    </w:p>
    <w:p w:rsidR="00202AA4" w:rsidRPr="002E2AEE" w:rsidRDefault="00202AA4" w:rsidP="00202AA4">
      <w:pPr>
        <w:pStyle w:val="a4"/>
        <w:jc w:val="center"/>
        <w:rPr>
          <w:rFonts w:cs="Times New Roman"/>
          <w:b/>
          <w:sz w:val="24"/>
          <w:szCs w:val="24"/>
        </w:rPr>
      </w:pPr>
      <w:r w:rsidRPr="002E2AEE">
        <w:rPr>
          <w:rFonts w:cs="Times New Roman"/>
          <w:b/>
          <w:sz w:val="24"/>
          <w:szCs w:val="24"/>
        </w:rPr>
        <w:t>про гранти Вінницької обласної Ради</w:t>
      </w:r>
    </w:p>
    <w:p w:rsidR="00202AA4" w:rsidRPr="002E2AEE" w:rsidRDefault="00202AA4" w:rsidP="00202AA4">
      <w:pPr>
        <w:pStyle w:val="a4"/>
        <w:jc w:val="center"/>
        <w:rPr>
          <w:rFonts w:cs="Times New Roman"/>
          <w:b/>
          <w:sz w:val="24"/>
          <w:szCs w:val="24"/>
        </w:rPr>
      </w:pPr>
      <w:r w:rsidRPr="002E2AEE">
        <w:rPr>
          <w:rFonts w:cs="Times New Roman"/>
          <w:b/>
          <w:sz w:val="24"/>
          <w:szCs w:val="24"/>
        </w:rPr>
        <w:t>та Вінницької обласної державної адміністрації</w:t>
      </w:r>
    </w:p>
    <w:p w:rsidR="00202AA4" w:rsidRPr="002E2AEE" w:rsidRDefault="00202AA4" w:rsidP="00202AA4">
      <w:pPr>
        <w:pStyle w:val="a4"/>
        <w:ind w:firstLine="708"/>
        <w:jc w:val="both"/>
        <w:rPr>
          <w:rFonts w:cs="Times New Roman"/>
          <w:sz w:val="24"/>
          <w:szCs w:val="24"/>
        </w:rPr>
      </w:pPr>
      <w:r w:rsidRPr="002E2AEE">
        <w:rPr>
          <w:rFonts w:cs="Times New Roman"/>
          <w:sz w:val="24"/>
          <w:szCs w:val="24"/>
        </w:rPr>
        <w:t>1. Це Положення визначає порядок надання навчальним закладам (дошкільним, загальноосвітнім, позашкільним, професійно-технічним, вищим навчальним закладам) Вінницької області щорічних грантів обласної Ради та обласної державної адміністрації.</w:t>
      </w:r>
    </w:p>
    <w:p w:rsidR="00202AA4" w:rsidRPr="002E2AEE" w:rsidRDefault="00202AA4" w:rsidP="00202AA4">
      <w:pPr>
        <w:pStyle w:val="a4"/>
        <w:ind w:firstLine="708"/>
        <w:jc w:val="both"/>
        <w:rPr>
          <w:rFonts w:cs="Times New Roman"/>
          <w:sz w:val="24"/>
          <w:szCs w:val="24"/>
        </w:rPr>
      </w:pPr>
      <w:r w:rsidRPr="002E2AEE">
        <w:rPr>
          <w:rFonts w:cs="Times New Roman"/>
          <w:sz w:val="24"/>
          <w:szCs w:val="24"/>
        </w:rPr>
        <w:t>Грант – це фінансова підтримка навчальних закладів області, що надається з метою реалізації проектів у сфері розробки та застосування інформаційних, телекомунікаційних, інноваційних технологій в управлінську діяльність та навчально-виховний процес, науково-пошукову роботу.</w:t>
      </w:r>
    </w:p>
    <w:p w:rsidR="00202AA4" w:rsidRPr="002E2AEE" w:rsidRDefault="00202AA4" w:rsidP="00202AA4">
      <w:pPr>
        <w:pStyle w:val="a4"/>
        <w:ind w:firstLine="708"/>
        <w:jc w:val="both"/>
        <w:rPr>
          <w:rFonts w:cs="Times New Roman"/>
          <w:sz w:val="24"/>
          <w:szCs w:val="24"/>
        </w:rPr>
      </w:pPr>
      <w:r w:rsidRPr="002E2AEE">
        <w:rPr>
          <w:rFonts w:cs="Times New Roman"/>
          <w:sz w:val="24"/>
          <w:szCs w:val="24"/>
        </w:rPr>
        <w:t>Гранти присуджуються у номінаціях:</w:t>
      </w:r>
    </w:p>
    <w:p w:rsidR="00202AA4" w:rsidRPr="002E2AEE" w:rsidRDefault="00202AA4" w:rsidP="00202AA4">
      <w:pPr>
        <w:pStyle w:val="a4"/>
        <w:ind w:firstLine="708"/>
        <w:jc w:val="both"/>
        <w:rPr>
          <w:rFonts w:cs="Times New Roman"/>
          <w:sz w:val="24"/>
          <w:szCs w:val="24"/>
        </w:rPr>
      </w:pPr>
      <w:r w:rsidRPr="002E2AEE">
        <w:rPr>
          <w:rFonts w:cs="Times New Roman"/>
          <w:sz w:val="24"/>
          <w:szCs w:val="24"/>
        </w:rPr>
        <w:t>- вищі навчальні заклади ;</w:t>
      </w:r>
    </w:p>
    <w:p w:rsidR="00202AA4" w:rsidRPr="002E2AEE" w:rsidRDefault="00202AA4" w:rsidP="00202AA4">
      <w:pPr>
        <w:pStyle w:val="a4"/>
        <w:ind w:firstLine="708"/>
        <w:jc w:val="both"/>
        <w:rPr>
          <w:rFonts w:cs="Times New Roman"/>
          <w:sz w:val="24"/>
          <w:szCs w:val="24"/>
        </w:rPr>
      </w:pPr>
      <w:r w:rsidRPr="002E2AEE">
        <w:rPr>
          <w:rFonts w:cs="Times New Roman"/>
          <w:sz w:val="24"/>
          <w:szCs w:val="24"/>
        </w:rPr>
        <w:t>- професійно-технічні навчальні заклади;</w:t>
      </w:r>
    </w:p>
    <w:p w:rsidR="00202AA4" w:rsidRPr="002E2AEE" w:rsidRDefault="00202AA4" w:rsidP="00202AA4">
      <w:pPr>
        <w:pStyle w:val="a4"/>
        <w:ind w:firstLine="708"/>
        <w:jc w:val="both"/>
        <w:rPr>
          <w:rFonts w:cs="Times New Roman"/>
          <w:sz w:val="24"/>
          <w:szCs w:val="24"/>
        </w:rPr>
      </w:pPr>
      <w:r w:rsidRPr="002E2AEE">
        <w:rPr>
          <w:rFonts w:cs="Times New Roman"/>
          <w:sz w:val="24"/>
          <w:szCs w:val="24"/>
        </w:rPr>
        <w:t>- навчальні заклади (дошкільні, позашкільні, сільські та міські загальноосвітні навчальні заклади)</w:t>
      </w:r>
      <w:r w:rsidR="00B10181" w:rsidRPr="002E2AEE">
        <w:rPr>
          <w:rFonts w:cs="Times New Roman"/>
          <w:sz w:val="24"/>
          <w:szCs w:val="24"/>
        </w:rPr>
        <w:t>.</w:t>
      </w:r>
    </w:p>
    <w:p w:rsidR="00202AA4" w:rsidRPr="002E2AEE" w:rsidRDefault="00202AA4" w:rsidP="00202AA4">
      <w:pPr>
        <w:pStyle w:val="a4"/>
        <w:ind w:firstLine="708"/>
        <w:jc w:val="both"/>
        <w:rPr>
          <w:rFonts w:cs="Times New Roman"/>
          <w:sz w:val="24"/>
          <w:szCs w:val="24"/>
        </w:rPr>
      </w:pPr>
      <w:r w:rsidRPr="002E2AEE">
        <w:rPr>
          <w:rFonts w:cs="Times New Roman"/>
          <w:sz w:val="24"/>
          <w:szCs w:val="24"/>
        </w:rPr>
        <w:t>Тематика грантів визначається експертною радою щорічно та оголошується у засобах масової інформації.</w:t>
      </w:r>
    </w:p>
    <w:p w:rsidR="00202AA4" w:rsidRPr="002E2AEE" w:rsidRDefault="00202AA4" w:rsidP="00202AA4">
      <w:pPr>
        <w:pStyle w:val="a4"/>
        <w:ind w:firstLine="708"/>
        <w:jc w:val="both"/>
        <w:rPr>
          <w:rFonts w:cs="Times New Roman"/>
          <w:sz w:val="24"/>
          <w:szCs w:val="24"/>
        </w:rPr>
      </w:pPr>
      <w:r w:rsidRPr="002E2AEE">
        <w:rPr>
          <w:rFonts w:cs="Times New Roman"/>
          <w:sz w:val="24"/>
          <w:szCs w:val="24"/>
        </w:rPr>
        <w:t xml:space="preserve">2. Для одержання гранту претендент не пізніше 1 квітня поточного року, в якому проводиться конкурс на отримання </w:t>
      </w:r>
      <w:proofErr w:type="spellStart"/>
      <w:r w:rsidRPr="002E2AEE">
        <w:rPr>
          <w:rFonts w:cs="Times New Roman"/>
          <w:sz w:val="24"/>
          <w:szCs w:val="24"/>
        </w:rPr>
        <w:t>гранта</w:t>
      </w:r>
      <w:proofErr w:type="spellEnd"/>
      <w:r w:rsidRPr="002E2AEE">
        <w:rPr>
          <w:rFonts w:cs="Times New Roman"/>
          <w:sz w:val="24"/>
          <w:szCs w:val="24"/>
        </w:rPr>
        <w:t>, подає в Департамент освіти і науки Вінницької облдержадміністрації заявку, до якої додаються такі документи:</w:t>
      </w:r>
    </w:p>
    <w:p w:rsidR="00202AA4" w:rsidRPr="002E2AEE" w:rsidRDefault="00202AA4" w:rsidP="00202AA4">
      <w:pPr>
        <w:pStyle w:val="a4"/>
        <w:ind w:firstLine="708"/>
        <w:jc w:val="both"/>
        <w:rPr>
          <w:rFonts w:cs="Times New Roman"/>
          <w:sz w:val="24"/>
          <w:szCs w:val="24"/>
        </w:rPr>
      </w:pPr>
      <w:r w:rsidRPr="002E2AEE">
        <w:rPr>
          <w:rFonts w:cs="Times New Roman"/>
          <w:sz w:val="24"/>
          <w:szCs w:val="24"/>
        </w:rPr>
        <w:t>- реєстраційна картка проекту,</w:t>
      </w:r>
    </w:p>
    <w:p w:rsidR="00202AA4" w:rsidRPr="002E2AEE" w:rsidRDefault="00202AA4" w:rsidP="00202AA4">
      <w:pPr>
        <w:pStyle w:val="a4"/>
        <w:ind w:firstLine="708"/>
        <w:jc w:val="both"/>
        <w:rPr>
          <w:rFonts w:cs="Times New Roman"/>
          <w:sz w:val="24"/>
          <w:szCs w:val="24"/>
        </w:rPr>
      </w:pPr>
      <w:r w:rsidRPr="002E2AEE">
        <w:rPr>
          <w:rFonts w:cs="Times New Roman"/>
          <w:sz w:val="24"/>
          <w:szCs w:val="24"/>
        </w:rPr>
        <w:t>- опис проекту,</w:t>
      </w:r>
    </w:p>
    <w:p w:rsidR="00202AA4" w:rsidRPr="002E2AEE" w:rsidRDefault="00202AA4" w:rsidP="00202AA4">
      <w:pPr>
        <w:pStyle w:val="a4"/>
        <w:ind w:firstLine="708"/>
        <w:jc w:val="both"/>
        <w:rPr>
          <w:rFonts w:cs="Times New Roman"/>
          <w:sz w:val="24"/>
          <w:szCs w:val="24"/>
        </w:rPr>
      </w:pPr>
      <w:r w:rsidRPr="002E2AEE">
        <w:rPr>
          <w:rFonts w:cs="Times New Roman"/>
          <w:sz w:val="24"/>
          <w:szCs w:val="24"/>
        </w:rPr>
        <w:t xml:space="preserve">- </w:t>
      </w:r>
      <w:proofErr w:type="spellStart"/>
      <w:r w:rsidRPr="002E2AEE">
        <w:rPr>
          <w:rFonts w:cs="Times New Roman"/>
          <w:sz w:val="24"/>
          <w:szCs w:val="24"/>
        </w:rPr>
        <w:t>довідка-об’єктивка</w:t>
      </w:r>
      <w:proofErr w:type="spellEnd"/>
      <w:r w:rsidRPr="002E2AEE">
        <w:rPr>
          <w:rFonts w:cs="Times New Roman"/>
          <w:sz w:val="24"/>
          <w:szCs w:val="24"/>
        </w:rPr>
        <w:t>,</w:t>
      </w:r>
    </w:p>
    <w:p w:rsidR="00202AA4" w:rsidRPr="002E2AEE" w:rsidRDefault="00202AA4" w:rsidP="00202AA4">
      <w:pPr>
        <w:pStyle w:val="a4"/>
        <w:ind w:firstLine="708"/>
        <w:jc w:val="both"/>
        <w:rPr>
          <w:rFonts w:cs="Times New Roman"/>
          <w:sz w:val="24"/>
          <w:szCs w:val="24"/>
        </w:rPr>
      </w:pPr>
      <w:r w:rsidRPr="002E2AEE">
        <w:rPr>
          <w:rFonts w:cs="Times New Roman"/>
          <w:sz w:val="24"/>
          <w:szCs w:val="24"/>
        </w:rPr>
        <w:t>- два рекомендаційних листи,</w:t>
      </w:r>
    </w:p>
    <w:p w:rsidR="00202AA4" w:rsidRPr="002E2AEE" w:rsidRDefault="00202AA4" w:rsidP="00202AA4">
      <w:pPr>
        <w:pStyle w:val="a4"/>
        <w:ind w:firstLine="708"/>
        <w:jc w:val="both"/>
        <w:rPr>
          <w:rFonts w:cs="Times New Roman"/>
          <w:sz w:val="24"/>
          <w:szCs w:val="24"/>
        </w:rPr>
      </w:pPr>
      <w:r w:rsidRPr="002E2AEE">
        <w:rPr>
          <w:rFonts w:cs="Times New Roman"/>
          <w:sz w:val="24"/>
          <w:szCs w:val="24"/>
        </w:rPr>
        <w:t>- очікуваний соціально-економічний ефект від впровадження.</w:t>
      </w:r>
    </w:p>
    <w:p w:rsidR="00202AA4" w:rsidRPr="002E2AEE" w:rsidRDefault="00202AA4" w:rsidP="00202AA4">
      <w:pPr>
        <w:pStyle w:val="a4"/>
        <w:ind w:firstLine="708"/>
        <w:jc w:val="both"/>
        <w:rPr>
          <w:rFonts w:cs="Times New Roman"/>
          <w:sz w:val="24"/>
          <w:szCs w:val="24"/>
        </w:rPr>
      </w:pPr>
      <w:r w:rsidRPr="002E2AEE">
        <w:rPr>
          <w:rFonts w:cs="Times New Roman"/>
          <w:sz w:val="24"/>
          <w:szCs w:val="24"/>
        </w:rPr>
        <w:t>Форма зазначених документів затверджуються Департаментом освіти і науки облдержадміністрації. До реєстраційної картки проекту, яка заповнюється претендентом, вносяться основні відомості про проект.</w:t>
      </w:r>
    </w:p>
    <w:p w:rsidR="00202AA4" w:rsidRPr="002E2AEE" w:rsidRDefault="00202AA4" w:rsidP="00202AA4">
      <w:pPr>
        <w:pStyle w:val="a4"/>
        <w:ind w:firstLine="708"/>
        <w:jc w:val="both"/>
        <w:rPr>
          <w:rFonts w:cs="Times New Roman"/>
          <w:sz w:val="24"/>
          <w:szCs w:val="24"/>
        </w:rPr>
      </w:pPr>
      <w:r w:rsidRPr="002E2AEE">
        <w:rPr>
          <w:rFonts w:cs="Times New Roman"/>
          <w:sz w:val="24"/>
          <w:szCs w:val="24"/>
        </w:rPr>
        <w:t>Опис проекту містить інформацію про його актуальність, мету, етапи реалізації, необхідні ресурси, виконавців, очікувані результати, прогноз щодо подальшої реалізації проекту та сферу його застосування.</w:t>
      </w:r>
    </w:p>
    <w:p w:rsidR="00202AA4" w:rsidRPr="002E2AEE" w:rsidRDefault="00202AA4" w:rsidP="00202AA4">
      <w:pPr>
        <w:pStyle w:val="a4"/>
        <w:ind w:firstLine="708"/>
        <w:jc w:val="both"/>
        <w:rPr>
          <w:rFonts w:cs="Times New Roman"/>
          <w:sz w:val="24"/>
          <w:szCs w:val="24"/>
        </w:rPr>
      </w:pPr>
      <w:proofErr w:type="spellStart"/>
      <w:r w:rsidRPr="002E2AEE">
        <w:rPr>
          <w:rFonts w:cs="Times New Roman"/>
          <w:sz w:val="24"/>
          <w:szCs w:val="24"/>
        </w:rPr>
        <w:t>Довідка-об’єктивка</w:t>
      </w:r>
      <w:proofErr w:type="spellEnd"/>
      <w:r w:rsidRPr="002E2AEE">
        <w:rPr>
          <w:rFonts w:cs="Times New Roman"/>
          <w:sz w:val="24"/>
          <w:szCs w:val="24"/>
        </w:rPr>
        <w:t xml:space="preserve"> містить відомості про автора проекту, інформацію про його освіту, трудовий стаж тощо.</w:t>
      </w:r>
    </w:p>
    <w:p w:rsidR="00202AA4" w:rsidRPr="002E2AEE" w:rsidRDefault="00202AA4" w:rsidP="00202AA4">
      <w:pPr>
        <w:pStyle w:val="a4"/>
        <w:ind w:firstLine="708"/>
        <w:jc w:val="both"/>
        <w:rPr>
          <w:rFonts w:cs="Times New Roman"/>
          <w:sz w:val="24"/>
          <w:szCs w:val="24"/>
        </w:rPr>
      </w:pPr>
      <w:r w:rsidRPr="002E2AEE">
        <w:rPr>
          <w:rFonts w:cs="Times New Roman"/>
          <w:sz w:val="24"/>
          <w:szCs w:val="24"/>
        </w:rPr>
        <w:t>Рекомендаційні листи містять обґрунтування необхідності реалізації проекту та визначають очікуваний ефект від його впровадження.</w:t>
      </w:r>
    </w:p>
    <w:p w:rsidR="00202AA4" w:rsidRPr="002E2AEE" w:rsidRDefault="00202AA4" w:rsidP="00202AA4">
      <w:pPr>
        <w:pStyle w:val="a4"/>
        <w:ind w:firstLine="708"/>
        <w:jc w:val="both"/>
        <w:rPr>
          <w:rFonts w:cs="Times New Roman"/>
          <w:sz w:val="24"/>
          <w:szCs w:val="24"/>
        </w:rPr>
      </w:pPr>
      <w:r w:rsidRPr="002E2AEE">
        <w:rPr>
          <w:rFonts w:cs="Times New Roman"/>
          <w:sz w:val="24"/>
          <w:szCs w:val="24"/>
        </w:rPr>
        <w:t>Рекомендаційні листи видаються загальновизнаними фахівцями у відповідній галузі і оформляються в установленому порядку.</w:t>
      </w:r>
    </w:p>
    <w:p w:rsidR="00202AA4" w:rsidRPr="002E2AEE" w:rsidRDefault="00202AA4" w:rsidP="00202AA4">
      <w:pPr>
        <w:pStyle w:val="a4"/>
        <w:ind w:firstLine="708"/>
        <w:jc w:val="both"/>
        <w:rPr>
          <w:rFonts w:cs="Times New Roman"/>
          <w:sz w:val="24"/>
          <w:szCs w:val="24"/>
        </w:rPr>
      </w:pPr>
      <w:r w:rsidRPr="002E2AEE">
        <w:rPr>
          <w:rFonts w:cs="Times New Roman"/>
          <w:sz w:val="24"/>
          <w:szCs w:val="24"/>
        </w:rPr>
        <w:t>3. Розгляд та експертизу заявок, конкурсний відбір і висунення претендентів на отримання гранту здійснює експертна рада, яка формується з представників обласної Ради, облдержадміністрації, Департаменту освіти і науки облдержадміністрації, Вінницької академії неперервної освіти, провідних науковців, представників громадськості.</w:t>
      </w:r>
    </w:p>
    <w:p w:rsidR="00202AA4" w:rsidRPr="002E2AEE" w:rsidRDefault="00202AA4" w:rsidP="00202AA4">
      <w:pPr>
        <w:pStyle w:val="a4"/>
        <w:ind w:firstLine="708"/>
        <w:jc w:val="both"/>
        <w:rPr>
          <w:rFonts w:cs="Times New Roman"/>
          <w:sz w:val="24"/>
          <w:szCs w:val="24"/>
        </w:rPr>
      </w:pPr>
      <w:r w:rsidRPr="002E2AEE">
        <w:rPr>
          <w:rFonts w:cs="Times New Roman"/>
          <w:sz w:val="24"/>
          <w:szCs w:val="24"/>
        </w:rPr>
        <w:t>Експертна рада працює на громадських засадах. Організаційне забезпечення роботи експертної ради покладається на Департамент освіти і науки обласної державної адміністрації.</w:t>
      </w:r>
    </w:p>
    <w:p w:rsidR="00202AA4" w:rsidRPr="002E2AEE" w:rsidRDefault="00202AA4" w:rsidP="00202AA4">
      <w:pPr>
        <w:pStyle w:val="a4"/>
        <w:ind w:firstLine="708"/>
        <w:jc w:val="both"/>
        <w:rPr>
          <w:rFonts w:cs="Times New Roman"/>
          <w:sz w:val="24"/>
          <w:szCs w:val="24"/>
        </w:rPr>
      </w:pPr>
      <w:r w:rsidRPr="002E2AEE">
        <w:rPr>
          <w:rFonts w:cs="Times New Roman"/>
          <w:sz w:val="24"/>
          <w:szCs w:val="24"/>
        </w:rPr>
        <w:t>Засідання експертної ради є правомірним, якщо на ньому присутні не менше 2/3 її складу.</w:t>
      </w:r>
    </w:p>
    <w:p w:rsidR="00202AA4" w:rsidRPr="002E2AEE" w:rsidRDefault="00202AA4" w:rsidP="00202AA4">
      <w:pPr>
        <w:pStyle w:val="a4"/>
        <w:ind w:firstLine="708"/>
        <w:jc w:val="both"/>
        <w:rPr>
          <w:rFonts w:cs="Times New Roman"/>
          <w:sz w:val="24"/>
          <w:szCs w:val="24"/>
        </w:rPr>
      </w:pPr>
      <w:r w:rsidRPr="002E2AEE">
        <w:rPr>
          <w:rFonts w:cs="Times New Roman"/>
          <w:sz w:val="24"/>
          <w:szCs w:val="24"/>
        </w:rPr>
        <w:t>Рішення експертної ради про висунення претендентів на одержання гранту ухвалюється таємним голосуванням простою більшістю голосів присутніх на засіданні членів експертної ради. Критерії, за якими визнають переможців, їх кількість та максимальний бал визначаються членами експертної ради.</w:t>
      </w:r>
    </w:p>
    <w:p w:rsidR="00202AA4" w:rsidRPr="002E2AEE" w:rsidRDefault="00202AA4" w:rsidP="00202AA4">
      <w:pPr>
        <w:pStyle w:val="a4"/>
        <w:ind w:firstLine="708"/>
        <w:jc w:val="both"/>
        <w:rPr>
          <w:rFonts w:cs="Times New Roman"/>
          <w:sz w:val="24"/>
          <w:szCs w:val="24"/>
        </w:rPr>
      </w:pPr>
      <w:r w:rsidRPr="002E2AEE">
        <w:rPr>
          <w:rFonts w:cs="Times New Roman"/>
          <w:sz w:val="24"/>
          <w:szCs w:val="24"/>
        </w:rPr>
        <w:t>4. Рішення експертної ради про висунення претендентів на одержання грантів затверджується колегією Департаменту освіти і науки облдержадміністрації.</w:t>
      </w:r>
    </w:p>
    <w:p w:rsidR="00202AA4" w:rsidRPr="002E2AEE" w:rsidRDefault="00202AA4" w:rsidP="00202AA4">
      <w:pPr>
        <w:pStyle w:val="a4"/>
        <w:ind w:firstLine="708"/>
        <w:jc w:val="both"/>
        <w:rPr>
          <w:rFonts w:cs="Times New Roman"/>
          <w:sz w:val="24"/>
          <w:szCs w:val="24"/>
        </w:rPr>
      </w:pPr>
      <w:r w:rsidRPr="002E2AEE">
        <w:rPr>
          <w:rFonts w:cs="Times New Roman"/>
          <w:sz w:val="24"/>
          <w:szCs w:val="24"/>
        </w:rPr>
        <w:t>5. Призначення грантів здійснюється розпорядженням голови обласної Ради за поданням директора Департаменту освіти і науки облдержадміністрації на підставі рішення експертної ради, колегії.</w:t>
      </w:r>
    </w:p>
    <w:p w:rsidR="00202AA4" w:rsidRPr="002E2AEE" w:rsidRDefault="00202AA4" w:rsidP="00202AA4">
      <w:pPr>
        <w:pStyle w:val="a4"/>
        <w:ind w:firstLine="708"/>
        <w:jc w:val="both"/>
        <w:rPr>
          <w:rFonts w:cs="Times New Roman"/>
          <w:sz w:val="24"/>
          <w:szCs w:val="24"/>
        </w:rPr>
      </w:pPr>
      <w:r w:rsidRPr="002E2AEE">
        <w:rPr>
          <w:rFonts w:cs="Times New Roman"/>
          <w:sz w:val="24"/>
          <w:szCs w:val="24"/>
        </w:rPr>
        <w:t>6. Інформація про призначення грантів оприлюднюється через засоби масової інформації.</w:t>
      </w:r>
    </w:p>
    <w:p w:rsidR="00202AA4" w:rsidRPr="002E2AEE" w:rsidRDefault="00202AA4" w:rsidP="00202AA4">
      <w:pPr>
        <w:pStyle w:val="a4"/>
        <w:ind w:firstLine="708"/>
        <w:jc w:val="both"/>
        <w:rPr>
          <w:rFonts w:cs="Times New Roman"/>
          <w:sz w:val="24"/>
          <w:szCs w:val="24"/>
        </w:rPr>
      </w:pPr>
      <w:r w:rsidRPr="002E2AEE">
        <w:rPr>
          <w:rFonts w:cs="Times New Roman"/>
          <w:sz w:val="24"/>
          <w:szCs w:val="24"/>
        </w:rPr>
        <w:t xml:space="preserve">7. Одержувач гранту укладає з Департаментом освіти і науки Вінницької облдержадміністрації (ЦМТІЗ) договір, у якому визначаються порядок виплати гранту, здійснення контролю за виконанням </w:t>
      </w:r>
      <w:r w:rsidRPr="002E2AEE">
        <w:rPr>
          <w:rFonts w:cs="Times New Roman"/>
          <w:sz w:val="24"/>
          <w:szCs w:val="24"/>
        </w:rPr>
        <w:lastRenderedPageBreak/>
        <w:t>договору та відповідальність сторін. Форма договору розробляється та встановлюється управлінням освіти і науки.</w:t>
      </w:r>
    </w:p>
    <w:p w:rsidR="00202AA4" w:rsidRPr="002E2AEE" w:rsidRDefault="00202AA4" w:rsidP="00202AA4">
      <w:pPr>
        <w:pStyle w:val="a4"/>
        <w:ind w:firstLine="708"/>
        <w:jc w:val="both"/>
        <w:rPr>
          <w:rFonts w:cs="Times New Roman"/>
          <w:sz w:val="24"/>
          <w:szCs w:val="24"/>
        </w:rPr>
      </w:pPr>
      <w:r w:rsidRPr="002E2AEE">
        <w:rPr>
          <w:rFonts w:cs="Times New Roman"/>
          <w:sz w:val="24"/>
          <w:szCs w:val="24"/>
        </w:rPr>
        <w:t>8. Надані у вигляді грантів кошти перераховуються в установленому порядку Департаментом освіти і науки облдержадміністрації на рахунки, відкриті одержувачами грантів у відділенні банку.</w:t>
      </w:r>
    </w:p>
    <w:p w:rsidR="00202AA4" w:rsidRPr="002E2AEE" w:rsidRDefault="00202AA4" w:rsidP="00202AA4">
      <w:pPr>
        <w:pStyle w:val="a4"/>
        <w:ind w:firstLine="708"/>
        <w:jc w:val="both"/>
        <w:rPr>
          <w:rFonts w:cs="Times New Roman"/>
          <w:sz w:val="24"/>
          <w:szCs w:val="24"/>
        </w:rPr>
      </w:pPr>
      <w:r w:rsidRPr="002E2AEE">
        <w:rPr>
          <w:rFonts w:cs="Times New Roman"/>
          <w:sz w:val="24"/>
          <w:szCs w:val="24"/>
        </w:rPr>
        <w:t>9. Одержувач гранту подає звіт до Департаменту освіти і науки облдержадміністрації про використання виділених коштів за встановленою формою у визначені договором строки. У разі використання коштів не за призначенням одержувач гранту несе відповідальність, передбачену законом та договором.</w:t>
      </w:r>
    </w:p>
    <w:p w:rsidR="00202AA4" w:rsidRPr="002E2AEE" w:rsidRDefault="00202AA4" w:rsidP="00202AA4">
      <w:pPr>
        <w:pStyle w:val="a4"/>
        <w:ind w:firstLine="708"/>
        <w:jc w:val="both"/>
        <w:rPr>
          <w:rFonts w:cs="Times New Roman"/>
          <w:sz w:val="24"/>
          <w:szCs w:val="24"/>
        </w:rPr>
      </w:pPr>
      <w:r w:rsidRPr="002E2AEE">
        <w:rPr>
          <w:rFonts w:cs="Times New Roman"/>
          <w:sz w:val="24"/>
          <w:szCs w:val="24"/>
        </w:rPr>
        <w:t>10. Департамент освіти і науки щороку інформує обласну Раду та облдержадміністрацію про стан роботи з реалізації проектів, на які було надано гранти.</w:t>
      </w:r>
    </w:p>
    <w:p w:rsidR="00AB0D8E" w:rsidRPr="002E2AEE" w:rsidRDefault="00202AA4" w:rsidP="00202AA4">
      <w:pPr>
        <w:pStyle w:val="a4"/>
        <w:ind w:firstLine="708"/>
        <w:jc w:val="both"/>
        <w:rPr>
          <w:rFonts w:cs="Times New Roman"/>
          <w:sz w:val="24"/>
          <w:szCs w:val="24"/>
        </w:rPr>
      </w:pPr>
      <w:r w:rsidRPr="002E2AEE">
        <w:rPr>
          <w:rFonts w:cs="Times New Roman"/>
          <w:sz w:val="24"/>
          <w:szCs w:val="24"/>
        </w:rPr>
        <w:t>11. Оподаткування коштів, одержаних як грант, здійснюється в порядку визначеному законодавством.</w:t>
      </w:r>
    </w:p>
    <w:p w:rsidR="00A16A6B" w:rsidRDefault="00A16A6B" w:rsidP="002E2AEE">
      <w:pPr>
        <w:spacing w:line="240" w:lineRule="auto"/>
        <w:ind w:firstLine="0"/>
        <w:jc w:val="right"/>
        <w:rPr>
          <w:rFonts w:cs="Times New Roman"/>
          <w:b/>
          <w:szCs w:val="28"/>
          <w:lang w:val="ru-RU"/>
        </w:rPr>
      </w:pPr>
    </w:p>
    <w:p w:rsidR="00A16A6B" w:rsidRDefault="00A16A6B" w:rsidP="002E2AEE">
      <w:pPr>
        <w:spacing w:line="240" w:lineRule="auto"/>
        <w:ind w:firstLine="0"/>
        <w:jc w:val="right"/>
        <w:rPr>
          <w:rFonts w:cs="Times New Roman"/>
          <w:b/>
          <w:szCs w:val="28"/>
          <w:lang w:val="ru-RU"/>
        </w:rPr>
      </w:pPr>
    </w:p>
    <w:p w:rsidR="00A16A6B" w:rsidRDefault="00A16A6B" w:rsidP="002E2AEE">
      <w:pPr>
        <w:spacing w:line="240" w:lineRule="auto"/>
        <w:ind w:firstLine="0"/>
        <w:jc w:val="right"/>
        <w:rPr>
          <w:rFonts w:cs="Times New Roman"/>
          <w:b/>
          <w:szCs w:val="28"/>
          <w:lang w:val="ru-RU"/>
        </w:rPr>
      </w:pPr>
    </w:p>
    <w:p w:rsidR="00A16A6B" w:rsidRDefault="00A16A6B" w:rsidP="002E2AEE">
      <w:pPr>
        <w:spacing w:line="240" w:lineRule="auto"/>
        <w:ind w:firstLine="0"/>
        <w:jc w:val="right"/>
        <w:rPr>
          <w:rFonts w:cs="Times New Roman"/>
          <w:b/>
          <w:szCs w:val="28"/>
          <w:lang w:val="ru-RU"/>
        </w:rPr>
      </w:pPr>
    </w:p>
    <w:p w:rsidR="00A16A6B" w:rsidRDefault="00A16A6B" w:rsidP="002E2AEE">
      <w:pPr>
        <w:spacing w:line="240" w:lineRule="auto"/>
        <w:ind w:firstLine="0"/>
        <w:jc w:val="right"/>
        <w:rPr>
          <w:rFonts w:cs="Times New Roman"/>
          <w:b/>
          <w:szCs w:val="28"/>
          <w:lang w:val="ru-RU"/>
        </w:rPr>
      </w:pPr>
    </w:p>
    <w:p w:rsidR="00A16A6B" w:rsidRDefault="00A16A6B" w:rsidP="002E2AEE">
      <w:pPr>
        <w:spacing w:line="240" w:lineRule="auto"/>
        <w:ind w:firstLine="0"/>
        <w:jc w:val="right"/>
        <w:rPr>
          <w:rFonts w:cs="Times New Roman"/>
          <w:b/>
          <w:szCs w:val="28"/>
          <w:lang w:val="ru-RU"/>
        </w:rPr>
      </w:pPr>
    </w:p>
    <w:p w:rsidR="00A16A6B" w:rsidRDefault="00A16A6B" w:rsidP="002E2AEE">
      <w:pPr>
        <w:spacing w:line="240" w:lineRule="auto"/>
        <w:ind w:firstLine="0"/>
        <w:jc w:val="right"/>
        <w:rPr>
          <w:rFonts w:cs="Times New Roman"/>
          <w:b/>
          <w:szCs w:val="28"/>
          <w:lang w:val="ru-RU"/>
        </w:rPr>
      </w:pPr>
    </w:p>
    <w:p w:rsidR="00A16A6B" w:rsidRDefault="00A16A6B" w:rsidP="002E2AEE">
      <w:pPr>
        <w:spacing w:line="240" w:lineRule="auto"/>
        <w:ind w:firstLine="0"/>
        <w:jc w:val="right"/>
        <w:rPr>
          <w:rFonts w:cs="Times New Roman"/>
          <w:b/>
          <w:szCs w:val="28"/>
          <w:lang w:val="ru-RU"/>
        </w:rPr>
      </w:pPr>
    </w:p>
    <w:p w:rsidR="00A16A6B" w:rsidRDefault="00A16A6B" w:rsidP="002E2AEE">
      <w:pPr>
        <w:spacing w:line="240" w:lineRule="auto"/>
        <w:ind w:firstLine="0"/>
        <w:jc w:val="right"/>
        <w:rPr>
          <w:rFonts w:cs="Times New Roman"/>
          <w:b/>
          <w:szCs w:val="28"/>
          <w:lang w:val="ru-RU"/>
        </w:rPr>
      </w:pPr>
    </w:p>
    <w:p w:rsidR="00A16A6B" w:rsidRDefault="00A16A6B" w:rsidP="002E2AEE">
      <w:pPr>
        <w:spacing w:line="240" w:lineRule="auto"/>
        <w:ind w:firstLine="0"/>
        <w:jc w:val="right"/>
        <w:rPr>
          <w:rFonts w:cs="Times New Roman"/>
          <w:b/>
          <w:szCs w:val="28"/>
          <w:lang w:val="ru-RU"/>
        </w:rPr>
      </w:pPr>
    </w:p>
    <w:p w:rsidR="00A16A6B" w:rsidRDefault="00A16A6B" w:rsidP="002E2AEE">
      <w:pPr>
        <w:spacing w:line="240" w:lineRule="auto"/>
        <w:ind w:firstLine="0"/>
        <w:jc w:val="right"/>
        <w:rPr>
          <w:rFonts w:cs="Times New Roman"/>
          <w:b/>
          <w:szCs w:val="28"/>
          <w:lang w:val="ru-RU"/>
        </w:rPr>
      </w:pPr>
    </w:p>
    <w:p w:rsidR="00A16A6B" w:rsidRDefault="00A16A6B" w:rsidP="002E2AEE">
      <w:pPr>
        <w:spacing w:line="240" w:lineRule="auto"/>
        <w:ind w:firstLine="0"/>
        <w:jc w:val="right"/>
        <w:rPr>
          <w:rFonts w:cs="Times New Roman"/>
          <w:b/>
          <w:szCs w:val="28"/>
          <w:lang w:val="ru-RU"/>
        </w:rPr>
      </w:pPr>
    </w:p>
    <w:p w:rsidR="00A16A6B" w:rsidRDefault="00A16A6B" w:rsidP="002E2AEE">
      <w:pPr>
        <w:spacing w:line="240" w:lineRule="auto"/>
        <w:ind w:firstLine="0"/>
        <w:jc w:val="right"/>
        <w:rPr>
          <w:rFonts w:cs="Times New Roman"/>
          <w:b/>
          <w:szCs w:val="28"/>
          <w:lang w:val="ru-RU"/>
        </w:rPr>
      </w:pPr>
    </w:p>
    <w:p w:rsidR="00A16A6B" w:rsidRDefault="00A16A6B" w:rsidP="002E2AEE">
      <w:pPr>
        <w:spacing w:line="240" w:lineRule="auto"/>
        <w:ind w:firstLine="0"/>
        <w:jc w:val="right"/>
        <w:rPr>
          <w:rFonts w:cs="Times New Roman"/>
          <w:b/>
          <w:szCs w:val="28"/>
          <w:lang w:val="ru-RU"/>
        </w:rPr>
      </w:pPr>
    </w:p>
    <w:p w:rsidR="00A16A6B" w:rsidRDefault="00A16A6B" w:rsidP="002E2AEE">
      <w:pPr>
        <w:spacing w:line="240" w:lineRule="auto"/>
        <w:ind w:firstLine="0"/>
        <w:jc w:val="right"/>
        <w:rPr>
          <w:rFonts w:cs="Times New Roman"/>
          <w:b/>
          <w:szCs w:val="28"/>
          <w:lang w:val="ru-RU"/>
        </w:rPr>
      </w:pPr>
    </w:p>
    <w:p w:rsidR="00A16A6B" w:rsidRDefault="00A16A6B" w:rsidP="002E2AEE">
      <w:pPr>
        <w:spacing w:line="240" w:lineRule="auto"/>
        <w:ind w:firstLine="0"/>
        <w:jc w:val="right"/>
        <w:rPr>
          <w:rFonts w:cs="Times New Roman"/>
          <w:b/>
          <w:szCs w:val="28"/>
          <w:lang w:val="ru-RU"/>
        </w:rPr>
      </w:pPr>
    </w:p>
    <w:p w:rsidR="00A16A6B" w:rsidRDefault="00A16A6B" w:rsidP="002E2AEE">
      <w:pPr>
        <w:spacing w:line="240" w:lineRule="auto"/>
        <w:ind w:firstLine="0"/>
        <w:jc w:val="right"/>
        <w:rPr>
          <w:rFonts w:cs="Times New Roman"/>
          <w:b/>
          <w:szCs w:val="28"/>
          <w:lang w:val="ru-RU"/>
        </w:rPr>
      </w:pPr>
    </w:p>
    <w:p w:rsidR="00A16A6B" w:rsidRDefault="00A16A6B" w:rsidP="002E2AEE">
      <w:pPr>
        <w:spacing w:line="240" w:lineRule="auto"/>
        <w:ind w:firstLine="0"/>
        <w:jc w:val="right"/>
        <w:rPr>
          <w:rFonts w:cs="Times New Roman"/>
          <w:b/>
          <w:szCs w:val="28"/>
          <w:lang w:val="ru-RU"/>
        </w:rPr>
      </w:pPr>
    </w:p>
    <w:p w:rsidR="00A16A6B" w:rsidRDefault="00A16A6B" w:rsidP="002E2AEE">
      <w:pPr>
        <w:spacing w:line="240" w:lineRule="auto"/>
        <w:ind w:firstLine="0"/>
        <w:jc w:val="right"/>
        <w:rPr>
          <w:rFonts w:cs="Times New Roman"/>
          <w:b/>
          <w:szCs w:val="28"/>
          <w:lang w:val="ru-RU"/>
        </w:rPr>
      </w:pPr>
    </w:p>
    <w:p w:rsidR="00A16A6B" w:rsidRDefault="00A16A6B" w:rsidP="002E2AEE">
      <w:pPr>
        <w:spacing w:line="240" w:lineRule="auto"/>
        <w:ind w:firstLine="0"/>
        <w:jc w:val="right"/>
        <w:rPr>
          <w:rFonts w:cs="Times New Roman"/>
          <w:b/>
          <w:szCs w:val="28"/>
          <w:lang w:val="ru-RU"/>
        </w:rPr>
      </w:pPr>
    </w:p>
    <w:p w:rsidR="00A16A6B" w:rsidRDefault="00A16A6B" w:rsidP="002E2AEE">
      <w:pPr>
        <w:spacing w:line="240" w:lineRule="auto"/>
        <w:ind w:firstLine="0"/>
        <w:jc w:val="right"/>
        <w:rPr>
          <w:rFonts w:cs="Times New Roman"/>
          <w:b/>
          <w:szCs w:val="28"/>
          <w:lang w:val="ru-RU"/>
        </w:rPr>
      </w:pPr>
    </w:p>
    <w:p w:rsidR="00A16A6B" w:rsidRDefault="00A16A6B" w:rsidP="002E2AEE">
      <w:pPr>
        <w:spacing w:line="240" w:lineRule="auto"/>
        <w:ind w:firstLine="0"/>
        <w:jc w:val="right"/>
        <w:rPr>
          <w:rFonts w:cs="Times New Roman"/>
          <w:b/>
          <w:szCs w:val="28"/>
          <w:lang w:val="ru-RU"/>
        </w:rPr>
      </w:pPr>
    </w:p>
    <w:p w:rsidR="00A16A6B" w:rsidRDefault="00A16A6B" w:rsidP="002E2AEE">
      <w:pPr>
        <w:spacing w:line="240" w:lineRule="auto"/>
        <w:ind w:firstLine="0"/>
        <w:jc w:val="right"/>
        <w:rPr>
          <w:rFonts w:cs="Times New Roman"/>
          <w:b/>
          <w:szCs w:val="28"/>
          <w:lang w:val="ru-RU"/>
        </w:rPr>
      </w:pPr>
    </w:p>
    <w:p w:rsidR="00A16A6B" w:rsidRDefault="00A16A6B" w:rsidP="002E2AEE">
      <w:pPr>
        <w:spacing w:line="240" w:lineRule="auto"/>
        <w:ind w:firstLine="0"/>
        <w:jc w:val="right"/>
        <w:rPr>
          <w:rFonts w:cs="Times New Roman"/>
          <w:b/>
          <w:szCs w:val="28"/>
          <w:lang w:val="ru-RU"/>
        </w:rPr>
      </w:pPr>
    </w:p>
    <w:p w:rsidR="00A16A6B" w:rsidRDefault="00A16A6B" w:rsidP="002E2AEE">
      <w:pPr>
        <w:spacing w:line="240" w:lineRule="auto"/>
        <w:ind w:firstLine="0"/>
        <w:jc w:val="right"/>
        <w:rPr>
          <w:rFonts w:cs="Times New Roman"/>
          <w:b/>
          <w:szCs w:val="28"/>
          <w:lang w:val="ru-RU"/>
        </w:rPr>
      </w:pPr>
    </w:p>
    <w:p w:rsidR="00A16A6B" w:rsidRDefault="00A16A6B" w:rsidP="002E2AEE">
      <w:pPr>
        <w:spacing w:line="240" w:lineRule="auto"/>
        <w:ind w:firstLine="0"/>
        <w:jc w:val="right"/>
        <w:rPr>
          <w:rFonts w:cs="Times New Roman"/>
          <w:b/>
          <w:szCs w:val="28"/>
          <w:lang w:val="ru-RU"/>
        </w:rPr>
      </w:pPr>
    </w:p>
    <w:p w:rsidR="00A16A6B" w:rsidRDefault="00A16A6B" w:rsidP="002E2AEE">
      <w:pPr>
        <w:spacing w:line="240" w:lineRule="auto"/>
        <w:ind w:firstLine="0"/>
        <w:jc w:val="right"/>
        <w:rPr>
          <w:rFonts w:cs="Times New Roman"/>
          <w:b/>
          <w:szCs w:val="28"/>
          <w:lang w:val="ru-RU"/>
        </w:rPr>
      </w:pPr>
    </w:p>
    <w:p w:rsidR="00A16A6B" w:rsidRDefault="00A16A6B" w:rsidP="002E2AEE">
      <w:pPr>
        <w:spacing w:line="240" w:lineRule="auto"/>
        <w:ind w:firstLine="0"/>
        <w:jc w:val="right"/>
        <w:rPr>
          <w:rFonts w:cs="Times New Roman"/>
          <w:b/>
          <w:szCs w:val="28"/>
          <w:lang w:val="ru-RU"/>
        </w:rPr>
      </w:pPr>
    </w:p>
    <w:p w:rsidR="00A16A6B" w:rsidRDefault="00A16A6B" w:rsidP="002E2AEE">
      <w:pPr>
        <w:spacing w:line="240" w:lineRule="auto"/>
        <w:ind w:firstLine="0"/>
        <w:jc w:val="right"/>
        <w:rPr>
          <w:rFonts w:cs="Times New Roman"/>
          <w:b/>
          <w:szCs w:val="28"/>
          <w:lang w:val="ru-RU"/>
        </w:rPr>
      </w:pPr>
    </w:p>
    <w:p w:rsidR="00A16A6B" w:rsidRDefault="00A16A6B" w:rsidP="002E2AEE">
      <w:pPr>
        <w:spacing w:line="240" w:lineRule="auto"/>
        <w:ind w:firstLine="0"/>
        <w:jc w:val="right"/>
        <w:rPr>
          <w:rFonts w:cs="Times New Roman"/>
          <w:b/>
          <w:szCs w:val="28"/>
          <w:lang w:val="ru-RU"/>
        </w:rPr>
      </w:pPr>
    </w:p>
    <w:p w:rsidR="00A16A6B" w:rsidRDefault="00A16A6B" w:rsidP="002E2AEE">
      <w:pPr>
        <w:spacing w:line="240" w:lineRule="auto"/>
        <w:ind w:firstLine="0"/>
        <w:jc w:val="right"/>
        <w:rPr>
          <w:rFonts w:cs="Times New Roman"/>
          <w:b/>
          <w:szCs w:val="28"/>
          <w:lang w:val="ru-RU"/>
        </w:rPr>
      </w:pPr>
    </w:p>
    <w:p w:rsidR="00A16A6B" w:rsidRDefault="00A16A6B" w:rsidP="002E2AEE">
      <w:pPr>
        <w:spacing w:line="240" w:lineRule="auto"/>
        <w:ind w:firstLine="0"/>
        <w:jc w:val="right"/>
        <w:rPr>
          <w:rFonts w:cs="Times New Roman"/>
          <w:b/>
          <w:szCs w:val="28"/>
          <w:lang w:val="ru-RU"/>
        </w:rPr>
      </w:pPr>
    </w:p>
    <w:p w:rsidR="00A16A6B" w:rsidRDefault="00A16A6B" w:rsidP="002E2AEE">
      <w:pPr>
        <w:spacing w:line="240" w:lineRule="auto"/>
        <w:ind w:firstLine="0"/>
        <w:jc w:val="right"/>
        <w:rPr>
          <w:rFonts w:cs="Times New Roman"/>
          <w:b/>
          <w:szCs w:val="28"/>
          <w:lang w:val="ru-RU"/>
        </w:rPr>
      </w:pPr>
    </w:p>
    <w:p w:rsidR="00A16A6B" w:rsidRDefault="00A16A6B" w:rsidP="002E2AEE">
      <w:pPr>
        <w:spacing w:line="240" w:lineRule="auto"/>
        <w:ind w:firstLine="0"/>
        <w:jc w:val="right"/>
        <w:rPr>
          <w:rFonts w:cs="Times New Roman"/>
          <w:b/>
          <w:szCs w:val="28"/>
          <w:lang w:val="ru-RU"/>
        </w:rPr>
      </w:pPr>
    </w:p>
    <w:p w:rsidR="00A16A6B" w:rsidRDefault="00A16A6B" w:rsidP="002E2AEE">
      <w:pPr>
        <w:spacing w:line="240" w:lineRule="auto"/>
        <w:ind w:firstLine="0"/>
        <w:jc w:val="right"/>
        <w:rPr>
          <w:rFonts w:cs="Times New Roman"/>
          <w:b/>
          <w:szCs w:val="28"/>
          <w:lang w:val="ru-RU"/>
        </w:rPr>
      </w:pPr>
    </w:p>
    <w:p w:rsidR="00A16A6B" w:rsidRDefault="00A16A6B" w:rsidP="002E2AEE">
      <w:pPr>
        <w:spacing w:line="240" w:lineRule="auto"/>
        <w:ind w:firstLine="0"/>
        <w:jc w:val="right"/>
        <w:rPr>
          <w:rFonts w:cs="Times New Roman"/>
          <w:b/>
          <w:szCs w:val="28"/>
          <w:lang w:val="ru-RU"/>
        </w:rPr>
      </w:pPr>
    </w:p>
    <w:p w:rsidR="00A16A6B" w:rsidRDefault="00A16A6B" w:rsidP="002E2AEE">
      <w:pPr>
        <w:spacing w:line="240" w:lineRule="auto"/>
        <w:ind w:firstLine="0"/>
        <w:jc w:val="right"/>
        <w:rPr>
          <w:rFonts w:cs="Times New Roman"/>
          <w:b/>
          <w:szCs w:val="28"/>
          <w:lang w:val="ru-RU"/>
        </w:rPr>
      </w:pPr>
    </w:p>
    <w:p w:rsidR="00A16A6B" w:rsidRDefault="00A16A6B" w:rsidP="00A16A6B">
      <w:pPr>
        <w:spacing w:line="240" w:lineRule="auto"/>
        <w:ind w:firstLine="0"/>
        <w:rPr>
          <w:rFonts w:cs="Times New Roman"/>
          <w:b/>
          <w:szCs w:val="28"/>
          <w:lang w:val="ru-RU"/>
        </w:rPr>
      </w:pPr>
    </w:p>
    <w:sectPr w:rsidR="00A16A6B" w:rsidSect="002E2AEE">
      <w:pgSz w:w="11906" w:h="16838"/>
      <w:pgMar w:top="567" w:right="70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3F6"/>
    <w:rsid w:val="00176DB9"/>
    <w:rsid w:val="00202AA4"/>
    <w:rsid w:val="00222839"/>
    <w:rsid w:val="002E0A7E"/>
    <w:rsid w:val="002E2AEE"/>
    <w:rsid w:val="00407FD4"/>
    <w:rsid w:val="00534C91"/>
    <w:rsid w:val="00561D41"/>
    <w:rsid w:val="009229E5"/>
    <w:rsid w:val="00A16A6B"/>
    <w:rsid w:val="00A2334F"/>
    <w:rsid w:val="00AB0D8E"/>
    <w:rsid w:val="00B10181"/>
    <w:rsid w:val="00D13D49"/>
    <w:rsid w:val="00D9069B"/>
    <w:rsid w:val="00E973F6"/>
    <w:rsid w:val="00F71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DB9"/>
    <w:pPr>
      <w:spacing w:after="0" w:line="360" w:lineRule="auto"/>
      <w:ind w:firstLine="709"/>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uiPriority w:val="19"/>
    <w:qFormat/>
    <w:rsid w:val="00A2334F"/>
    <w:rPr>
      <w:i/>
      <w:iCs/>
      <w:color w:val="808080"/>
      <w:sz w:val="16"/>
    </w:rPr>
  </w:style>
  <w:style w:type="paragraph" w:styleId="a4">
    <w:name w:val="No Spacing"/>
    <w:uiPriority w:val="1"/>
    <w:qFormat/>
    <w:rsid w:val="00202AA4"/>
    <w:pPr>
      <w:spacing w:after="0" w:line="240" w:lineRule="auto"/>
      <w:ind w:firstLine="709"/>
    </w:pPr>
    <w:rPr>
      <w:rFonts w:ascii="Times New Roman" w:hAnsi="Times New Roman"/>
      <w:sz w:val="28"/>
      <w:lang w:val="uk-UA"/>
    </w:rPr>
  </w:style>
  <w:style w:type="table" w:styleId="a5">
    <w:name w:val="Table Grid"/>
    <w:basedOn w:val="a1"/>
    <w:uiPriority w:val="59"/>
    <w:rsid w:val="002E2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34C91"/>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4C91"/>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DB9"/>
    <w:pPr>
      <w:spacing w:after="0" w:line="360" w:lineRule="auto"/>
      <w:ind w:firstLine="709"/>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uiPriority w:val="19"/>
    <w:qFormat/>
    <w:rsid w:val="00A2334F"/>
    <w:rPr>
      <w:i/>
      <w:iCs/>
      <w:color w:val="808080"/>
      <w:sz w:val="16"/>
    </w:rPr>
  </w:style>
  <w:style w:type="paragraph" w:styleId="a4">
    <w:name w:val="No Spacing"/>
    <w:uiPriority w:val="1"/>
    <w:qFormat/>
    <w:rsid w:val="00202AA4"/>
    <w:pPr>
      <w:spacing w:after="0" w:line="240" w:lineRule="auto"/>
      <w:ind w:firstLine="709"/>
    </w:pPr>
    <w:rPr>
      <w:rFonts w:ascii="Times New Roman" w:hAnsi="Times New Roman"/>
      <w:sz w:val="28"/>
      <w:lang w:val="uk-UA"/>
    </w:rPr>
  </w:style>
  <w:style w:type="table" w:styleId="a5">
    <w:name w:val="Table Grid"/>
    <w:basedOn w:val="a1"/>
    <w:uiPriority w:val="59"/>
    <w:rsid w:val="002E2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34C91"/>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4C91"/>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660</Words>
  <Characters>3766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dc:creator>
  <cp:keywords/>
  <dc:description/>
  <cp:lastModifiedBy>USER</cp:lastModifiedBy>
  <cp:revision>12</cp:revision>
  <cp:lastPrinted>2019-03-19T06:25:00Z</cp:lastPrinted>
  <dcterms:created xsi:type="dcterms:W3CDTF">2019-03-18T16:12:00Z</dcterms:created>
  <dcterms:modified xsi:type="dcterms:W3CDTF">2019-03-19T06:42:00Z</dcterms:modified>
</cp:coreProperties>
</file>